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2C4" w14:textId="24FAB623" w:rsidR="00F41AAF" w:rsidRDefault="00441979" w:rsidP="00455174">
      <w:pPr>
        <w:shd w:val="clear" w:color="auto" w:fill="FFFFFF" w:themeFill="background1"/>
        <w:spacing w:after="0" w:line="254" w:lineRule="auto"/>
        <w:jc w:val="center"/>
        <w:rPr>
          <w:rFonts w:ascii="Century Gothic" w:hAnsi="Century Gothic"/>
          <w:color w:val="FFFFFF" w:themeColor="background1"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60707" wp14:editId="311C6814">
            <wp:simplePos x="0" y="0"/>
            <wp:positionH relativeFrom="column">
              <wp:posOffset>4943475</wp:posOffset>
            </wp:positionH>
            <wp:positionV relativeFrom="paragraph">
              <wp:posOffset>348615</wp:posOffset>
            </wp:positionV>
            <wp:extent cx="723900" cy="723900"/>
            <wp:effectExtent l="0" t="0" r="0" b="0"/>
            <wp:wrapNone/>
            <wp:docPr id="8" name="Picture 8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3C99" w14:textId="318B1FE9" w:rsidR="003308F9" w:rsidRPr="00251876" w:rsidRDefault="00111204" w:rsidP="00455174">
      <w:pPr>
        <w:shd w:val="clear" w:color="auto" w:fill="65506C"/>
        <w:spacing w:after="0" w:line="254" w:lineRule="auto"/>
        <w:rPr>
          <w:rFonts w:ascii="Century Gothic" w:hAnsi="Century Gothic"/>
          <w:color w:val="FFFFFF" w:themeColor="background1"/>
          <w:sz w:val="56"/>
        </w:rPr>
      </w:pPr>
      <w:r>
        <w:rPr>
          <w:rFonts w:ascii="Century Gothic" w:hAnsi="Century Gothic"/>
          <w:color w:val="FFFFFF" w:themeColor="background1"/>
          <w:sz w:val="56"/>
        </w:rPr>
        <w:t>Sentence Structure</w:t>
      </w:r>
      <w:r w:rsidR="00DB6662">
        <w:rPr>
          <w:rFonts w:ascii="Century Gothic" w:hAnsi="Century Gothic"/>
          <w:color w:val="FFFFFF" w:themeColor="background1"/>
          <w:sz w:val="56"/>
        </w:rPr>
        <w:t xml:space="preserve">           2</w:t>
      </w:r>
    </w:p>
    <w:p w14:paraId="381099CA" w14:textId="3B72051F" w:rsidR="00251876" w:rsidRDefault="00251876" w:rsidP="00455174">
      <w:pPr>
        <w:spacing w:after="0" w:line="254" w:lineRule="auto"/>
        <w:rPr>
          <w:rFonts w:ascii="Century Gothic" w:hAnsi="Century Gothic"/>
          <w:sz w:val="24"/>
        </w:rPr>
      </w:pPr>
    </w:p>
    <w:p w14:paraId="6FE8BCE9" w14:textId="426482CC" w:rsidR="00F41AAF" w:rsidRDefault="00F41AAF" w:rsidP="00455174">
      <w:pPr>
        <w:spacing w:after="0" w:line="254" w:lineRule="auto"/>
        <w:rPr>
          <w:rFonts w:ascii="Century Gothic" w:eastAsia="Times New Roman" w:hAnsi="Century Gothic" w:cs="Times New Roman"/>
          <w:color w:val="3B3E4D"/>
          <w:lang w:eastAsia="en-GB"/>
        </w:rPr>
      </w:pPr>
    </w:p>
    <w:p w14:paraId="4EA43160" w14:textId="77777777" w:rsidR="003A16B0" w:rsidRDefault="00455174" w:rsidP="00455174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/>
          <w:b/>
          <w:color w:val="65506C"/>
        </w:rPr>
        <w:t>There are 4 types of sentence structure:</w:t>
      </w:r>
    </w:p>
    <w:tbl>
      <w:tblPr>
        <w:tblStyle w:val="TableGrid"/>
        <w:tblpPr w:leftFromText="180" w:rightFromText="180" w:vertAnchor="text" w:horzAnchor="margin" w:tblpY="184"/>
        <w:tblW w:w="9631" w:type="dxa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shd w:val="clear" w:color="auto" w:fill="65506C"/>
        <w:tblLook w:val="04A0" w:firstRow="1" w:lastRow="0" w:firstColumn="1" w:lastColumn="0" w:noHBand="0" w:noVBand="1"/>
      </w:tblPr>
      <w:tblGrid>
        <w:gridCol w:w="4954"/>
        <w:gridCol w:w="4677"/>
      </w:tblGrid>
      <w:tr w:rsidR="00CD2964" w:rsidRPr="00087FF3" w14:paraId="13809721" w14:textId="77777777" w:rsidTr="00CD2964">
        <w:trPr>
          <w:tblCellSpacing w:w="20" w:type="dxa"/>
        </w:trPr>
        <w:tc>
          <w:tcPr>
            <w:tcW w:w="4894" w:type="dxa"/>
            <w:shd w:val="clear" w:color="auto" w:fill="auto"/>
          </w:tcPr>
          <w:p w14:paraId="3037CD0B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65506C"/>
                <w:sz w:val="20"/>
                <w:lang w:eastAsia="en-GB"/>
              </w:rPr>
            </w:pPr>
          </w:p>
          <w:p w14:paraId="67C1F4DD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65506C"/>
                <w:sz w:val="24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65506C"/>
                <w:sz w:val="24"/>
                <w:lang w:eastAsia="en-GB"/>
              </w:rPr>
              <w:t>Simple Sentence Structure</w:t>
            </w:r>
          </w:p>
          <w:p w14:paraId="16DBA245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</w:pPr>
          </w:p>
          <w:p w14:paraId="02ECFEB2" w14:textId="77777777" w:rsidR="00CD2964" w:rsidRPr="00DB6662" w:rsidRDefault="00CD2964" w:rsidP="00CD2964">
            <w:pPr>
              <w:pStyle w:val="NormalWeb"/>
              <w:spacing w:before="0" w:beforeAutospacing="0" w:after="0" w:afterAutospacing="0" w:line="254" w:lineRule="auto"/>
              <w:rPr>
                <w:rFonts w:ascii="Century Gothic" w:hAnsi="Century Gothic" w:cs="Helvetica"/>
                <w:color w:val="65506C"/>
                <w:sz w:val="22"/>
                <w:szCs w:val="22"/>
              </w:rPr>
            </w:pPr>
            <w:r w:rsidRPr="00DB6662">
              <w:rPr>
                <w:rFonts w:ascii="Century Gothic" w:hAnsi="Century Gothic" w:cs="Helvetica"/>
                <w:color w:val="65506C"/>
                <w:sz w:val="22"/>
                <w:szCs w:val="22"/>
              </w:rPr>
              <w:t>A </w:t>
            </w:r>
            <w:r w:rsidRPr="00DB6662">
              <w:rPr>
                <w:rStyle w:val="Strong"/>
                <w:rFonts w:ascii="Century Gothic" w:hAnsi="Century Gothic" w:cs="Helvetica"/>
                <w:b w:val="0"/>
                <w:color w:val="65506C"/>
                <w:sz w:val="22"/>
                <w:szCs w:val="22"/>
              </w:rPr>
              <w:t>simple sentence</w:t>
            </w:r>
            <w:r w:rsidRPr="00DB6662">
              <w:rPr>
                <w:rFonts w:ascii="Century Gothic" w:hAnsi="Century Gothic" w:cs="Helvetica"/>
                <w:color w:val="65506C"/>
                <w:sz w:val="22"/>
                <w:szCs w:val="22"/>
              </w:rPr>
              <w:t xml:space="preserve"> consists of one </w:t>
            </w:r>
            <w:r w:rsidRPr="00DB6662">
              <w:rPr>
                <w:rFonts w:ascii="Century Gothic" w:hAnsi="Century Gothic" w:cs="Helvetica"/>
                <w:b/>
                <w:color w:val="65506C"/>
                <w:sz w:val="22"/>
                <w:szCs w:val="22"/>
              </w:rPr>
              <w:t>independent clause</w:t>
            </w:r>
            <w:r w:rsidRPr="00DB6662">
              <w:rPr>
                <w:rFonts w:ascii="Century Gothic" w:hAnsi="Century Gothic" w:cs="Helvetica"/>
                <w:color w:val="65506C"/>
                <w:sz w:val="22"/>
                <w:szCs w:val="22"/>
              </w:rPr>
              <w:t xml:space="preserve">. An independent clause contains a subject and </w:t>
            </w:r>
            <w:r>
              <w:rPr>
                <w:rFonts w:ascii="Century Gothic" w:hAnsi="Century Gothic" w:cs="Helvetica"/>
                <w:color w:val="65506C"/>
                <w:sz w:val="22"/>
                <w:szCs w:val="22"/>
              </w:rPr>
              <w:t xml:space="preserve">a </w:t>
            </w:r>
            <w:r w:rsidRPr="00DB6662">
              <w:rPr>
                <w:rFonts w:ascii="Century Gothic" w:hAnsi="Century Gothic" w:cs="Helvetica"/>
                <w:color w:val="65506C"/>
                <w:sz w:val="22"/>
                <w:szCs w:val="22"/>
              </w:rPr>
              <w:t>verb</w:t>
            </w:r>
            <w:r>
              <w:rPr>
                <w:rFonts w:ascii="Century Gothic" w:hAnsi="Century Gothic" w:cs="Helvetica"/>
                <w:color w:val="65506C"/>
                <w:sz w:val="22"/>
                <w:szCs w:val="22"/>
              </w:rPr>
              <w:t>,</w:t>
            </w:r>
            <w:r w:rsidRPr="00DB6662">
              <w:rPr>
                <w:rFonts w:ascii="Century Gothic" w:hAnsi="Century Gothic" w:cs="Helvetica"/>
                <w:color w:val="65506C"/>
                <w:sz w:val="22"/>
                <w:szCs w:val="22"/>
              </w:rPr>
              <w:t xml:space="preserve"> and expresses a complete thought.</w:t>
            </w:r>
          </w:p>
          <w:p w14:paraId="58F3AD08" w14:textId="77777777" w:rsidR="00CD2964" w:rsidRPr="00DB6662" w:rsidRDefault="00CD2964" w:rsidP="00CD2964">
            <w:pPr>
              <w:pStyle w:val="NormalWeb"/>
              <w:spacing w:before="0" w:beforeAutospacing="0" w:after="0" w:afterAutospacing="0" w:line="254" w:lineRule="auto"/>
              <w:rPr>
                <w:rFonts w:ascii="Century Gothic" w:hAnsi="Century Gothic" w:cs="Helvetica"/>
                <w:color w:val="65506C"/>
                <w:sz w:val="22"/>
                <w:szCs w:val="22"/>
              </w:rPr>
            </w:pPr>
          </w:p>
          <w:p w14:paraId="1741F8DB" w14:textId="77777777" w:rsidR="00CD2964" w:rsidRPr="00DB6662" w:rsidRDefault="00CD2964" w:rsidP="00CD2964">
            <w:pPr>
              <w:pStyle w:val="ListParagraph"/>
              <w:numPr>
                <w:ilvl w:val="0"/>
                <w:numId w:val="17"/>
              </w:numPr>
              <w:spacing w:line="254" w:lineRule="auto"/>
              <w:ind w:left="261" w:hanging="261"/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  <w:t>I like coffee.</w:t>
            </w:r>
          </w:p>
          <w:p w14:paraId="58F4B815" w14:textId="77777777" w:rsidR="00CD2964" w:rsidRPr="00DB6662" w:rsidRDefault="00CD2964" w:rsidP="00CD2964">
            <w:pPr>
              <w:pStyle w:val="ListParagraph"/>
              <w:numPr>
                <w:ilvl w:val="0"/>
                <w:numId w:val="17"/>
              </w:numPr>
              <w:spacing w:line="254" w:lineRule="auto"/>
              <w:ind w:left="261" w:hanging="261"/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  <w:t>Helen likes tea.</w:t>
            </w:r>
          </w:p>
          <w:p w14:paraId="3F46E541" w14:textId="77777777" w:rsidR="00CD2964" w:rsidRPr="00DB6662" w:rsidRDefault="00CD2964" w:rsidP="00CD2964">
            <w:pPr>
              <w:pStyle w:val="ListParagraph"/>
              <w:numPr>
                <w:ilvl w:val="0"/>
                <w:numId w:val="17"/>
              </w:numPr>
              <w:spacing w:line="254" w:lineRule="auto"/>
              <w:ind w:left="261" w:hanging="261"/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  <w:t>Some students prefer to study in the library.</w:t>
            </w:r>
          </w:p>
          <w:p w14:paraId="1DD5D079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</w:tc>
        <w:tc>
          <w:tcPr>
            <w:tcW w:w="4617" w:type="dxa"/>
            <w:shd w:val="clear" w:color="auto" w:fill="65506C"/>
          </w:tcPr>
          <w:p w14:paraId="2EAB6DFA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FFFFFF" w:themeColor="background1"/>
                <w:sz w:val="16"/>
                <w:lang w:eastAsia="en-GB"/>
              </w:rPr>
            </w:pPr>
          </w:p>
          <w:p w14:paraId="01A6D642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lang w:eastAsia="en-GB"/>
              </w:rPr>
              <w:t>Compound Sentence Structure</w:t>
            </w:r>
          </w:p>
          <w:p w14:paraId="78764B8F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  <w:p w14:paraId="6D3DA5E2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A compound sentence is two (or more) 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independent clauses joined by a</w:t>
            </w: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 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conjunction</w:t>
            </w: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 xml:space="preserve"> or 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semi colon</w:t>
            </w: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. Each of these clauses could stand as an independent sentence.</w:t>
            </w:r>
          </w:p>
          <w:p w14:paraId="7111BAEC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</w:pPr>
          </w:p>
          <w:p w14:paraId="503CD842" w14:textId="77777777" w:rsidR="00CD2964" w:rsidRPr="00DB6662" w:rsidRDefault="00CD2964" w:rsidP="00CD2964">
            <w:pPr>
              <w:pStyle w:val="ListParagraph"/>
              <w:numPr>
                <w:ilvl w:val="0"/>
                <w:numId w:val="18"/>
              </w:numPr>
              <w:spacing w:line="254" w:lineRule="auto"/>
              <w:ind w:left="298" w:hanging="284"/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I like coffee and Helen likes tea.</w:t>
            </w:r>
          </w:p>
          <w:p w14:paraId="494144CD" w14:textId="77777777" w:rsidR="00CD2964" w:rsidRPr="00DB6662" w:rsidRDefault="00CD2964" w:rsidP="00CD2964">
            <w:pPr>
              <w:pStyle w:val="ListParagraph"/>
              <w:numPr>
                <w:ilvl w:val="0"/>
                <w:numId w:val="18"/>
              </w:numPr>
              <w:spacing w:line="254" w:lineRule="auto"/>
              <w:ind w:left="298" w:hanging="284"/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Some students prefer to study in the library but others prefer to work at home.</w:t>
            </w:r>
          </w:p>
          <w:p w14:paraId="67F94ABB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</w:pPr>
          </w:p>
          <w:p w14:paraId="61B4D51A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There are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 xml:space="preserve"> 7 </w:t>
            </w: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coordinating conjunctions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 xml:space="preserve"> </w:t>
            </w:r>
            <w:r w:rsidRPr="00DB6662">
              <w:rPr>
                <w:rFonts w:ascii="Century Gothic" w:eastAsia="Times New Roman" w:hAnsi="Century Gothic" w:cs="Times New Roman"/>
                <w:color w:val="FFFFFF" w:themeColor="background1"/>
                <w:lang w:eastAsia="en-GB"/>
              </w:rPr>
              <w:t>you could use</w:t>
            </w: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lang w:eastAsia="en-GB"/>
              </w:rPr>
              <w:t>: and, but, or, nor, for, yet so.</w:t>
            </w:r>
          </w:p>
          <w:p w14:paraId="7160393C" w14:textId="77777777" w:rsidR="00CD2964" w:rsidRPr="00DB6662" w:rsidRDefault="00CD2964" w:rsidP="00CD2964">
            <w:pPr>
              <w:spacing w:line="254" w:lineRule="auto"/>
              <w:jc w:val="both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</w:tc>
      </w:tr>
      <w:tr w:rsidR="00CD2964" w:rsidRPr="00087FF3" w14:paraId="0D99324C" w14:textId="77777777" w:rsidTr="00CD2964">
        <w:trPr>
          <w:tblCellSpacing w:w="20" w:type="dxa"/>
        </w:trPr>
        <w:tc>
          <w:tcPr>
            <w:tcW w:w="4894" w:type="dxa"/>
            <w:shd w:val="clear" w:color="auto" w:fill="65506C"/>
          </w:tcPr>
          <w:p w14:paraId="473288DB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  <w:p w14:paraId="78B9186A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FFFFFF" w:themeColor="background1"/>
                <w:sz w:val="24"/>
                <w:lang w:eastAsia="en-GB"/>
              </w:rPr>
              <w:t>Complex Sentence Structure</w:t>
            </w:r>
          </w:p>
          <w:p w14:paraId="6FEA990F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  <w:p w14:paraId="15FECCB6" w14:textId="77777777" w:rsidR="00CD2964" w:rsidRPr="00DB6662" w:rsidRDefault="00CD2964" w:rsidP="00CD2964">
            <w:pPr>
              <w:spacing w:line="254" w:lineRule="auto"/>
              <w:rPr>
                <w:rFonts w:ascii="Century Gothic" w:hAnsi="Century Gothic" w:cs="Helvetica"/>
                <w:color w:val="FFFFFF" w:themeColor="background1"/>
              </w:rPr>
            </w:pPr>
            <w:r w:rsidRPr="00DB6662">
              <w:rPr>
                <w:rFonts w:ascii="Century Gothic" w:hAnsi="Century Gothic" w:cs="Helvetica"/>
                <w:color w:val="FFFFFF" w:themeColor="background1"/>
              </w:rPr>
              <w:t>A </w:t>
            </w:r>
            <w:r w:rsidRPr="00DB6662">
              <w:rPr>
                <w:rStyle w:val="Strong"/>
                <w:rFonts w:ascii="Century Gothic" w:hAnsi="Century Gothic" w:cs="Helvetica"/>
                <w:b w:val="0"/>
                <w:color w:val="FFFFFF" w:themeColor="background1"/>
              </w:rPr>
              <w:t>complex sentence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 consists of an </w:t>
            </w: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independent clause plus a dependent clause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. A dependent clause starts with a </w:t>
            </w: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subordinating conjunction or a relative pronoun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, and contains a </w:t>
            </w: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subject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 </w:t>
            </w: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and a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 </w:t>
            </w: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verb</w:t>
            </w:r>
            <w:r w:rsidRPr="00DB6662">
              <w:rPr>
                <w:rFonts w:ascii="Century Gothic" w:hAnsi="Century Gothic" w:cs="Helvetica"/>
                <w:color w:val="FFFFFF" w:themeColor="background1"/>
              </w:rPr>
              <w:t>, but does not express a complete thought.</w:t>
            </w:r>
          </w:p>
          <w:p w14:paraId="6B002A1F" w14:textId="77777777" w:rsidR="00CD2964" w:rsidRPr="00DB6662" w:rsidRDefault="00CD2964" w:rsidP="00CD2964">
            <w:pPr>
              <w:spacing w:line="254" w:lineRule="auto"/>
              <w:rPr>
                <w:rFonts w:ascii="Century Gothic" w:hAnsi="Century Gothic" w:cs="Helvetica"/>
                <w:color w:val="FFFFFF" w:themeColor="background1"/>
              </w:rPr>
            </w:pPr>
          </w:p>
          <w:p w14:paraId="005CD676" w14:textId="77777777" w:rsidR="00CD2964" w:rsidRPr="00DB6662" w:rsidRDefault="00CD2964" w:rsidP="00CD2964">
            <w:pPr>
              <w:pStyle w:val="ListParagraph"/>
              <w:numPr>
                <w:ilvl w:val="0"/>
                <w:numId w:val="19"/>
              </w:numPr>
              <w:spacing w:line="254" w:lineRule="auto"/>
              <w:ind w:left="261" w:hanging="261"/>
              <w:rPr>
                <w:rFonts w:ascii="Century Gothic" w:hAnsi="Century Gothic" w:cs="Helvetica"/>
                <w:b/>
                <w:color w:val="FFFFFF" w:themeColor="background1"/>
              </w:rPr>
            </w:pP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We missed our train because we were late.</w:t>
            </w:r>
          </w:p>
          <w:p w14:paraId="049C0F43" w14:textId="77777777" w:rsidR="00CD2964" w:rsidRPr="00DB6662" w:rsidRDefault="00CD2964" w:rsidP="00CD2964">
            <w:pPr>
              <w:pStyle w:val="ListParagraph"/>
              <w:numPr>
                <w:ilvl w:val="0"/>
                <w:numId w:val="19"/>
              </w:numPr>
              <w:spacing w:line="254" w:lineRule="auto"/>
              <w:ind w:left="261" w:hanging="261"/>
              <w:rPr>
                <w:rFonts w:ascii="Century Gothic" w:hAnsi="Century Gothic" w:cs="Helvetica"/>
                <w:b/>
                <w:color w:val="FFFFFF" w:themeColor="background1"/>
              </w:rPr>
            </w:pPr>
            <w:r w:rsidRPr="00DB6662">
              <w:rPr>
                <w:rFonts w:ascii="Century Gothic" w:hAnsi="Century Gothic" w:cs="Helvetica"/>
                <w:b/>
                <w:color w:val="FFFFFF" w:themeColor="background1"/>
              </w:rPr>
              <w:t>She left in a hurry after she heard the news.</w:t>
            </w:r>
          </w:p>
          <w:p w14:paraId="72023F20" w14:textId="77777777" w:rsidR="00CD2964" w:rsidRPr="00DB6662" w:rsidRDefault="00CD2964" w:rsidP="00CD2964">
            <w:pPr>
              <w:spacing w:line="254" w:lineRule="auto"/>
              <w:rPr>
                <w:rFonts w:ascii="Century Gothic" w:hAnsi="Century Gothic" w:cs="Helvetica"/>
                <w:color w:val="FFFFFF" w:themeColor="background1"/>
              </w:rPr>
            </w:pPr>
          </w:p>
          <w:p w14:paraId="5B3CA944" w14:textId="77777777" w:rsidR="00CD2964" w:rsidRDefault="00CD2964" w:rsidP="00CD2964">
            <w:pPr>
              <w:spacing w:line="254" w:lineRule="auto"/>
              <w:ind w:left="22"/>
              <w:rPr>
                <w:rFonts w:ascii="Century Gothic" w:hAnsi="Century Gothic" w:cs="Helvetica"/>
                <w:color w:val="FFFFFF" w:themeColor="background1"/>
              </w:rPr>
            </w:pPr>
            <w:r w:rsidRPr="00DB6662">
              <w:rPr>
                <w:rFonts w:ascii="Century Gothic" w:hAnsi="Century Gothic" w:cs="Helvetica"/>
                <w:color w:val="FFFFFF" w:themeColor="background1"/>
              </w:rPr>
              <w:t xml:space="preserve">Some common subordinating conjunctions include: </w:t>
            </w:r>
          </w:p>
          <w:p w14:paraId="41368C51" w14:textId="77777777" w:rsidR="00CD2964" w:rsidRPr="00DB6662" w:rsidRDefault="00CD2964" w:rsidP="00CD2964">
            <w:pPr>
              <w:spacing w:line="254" w:lineRule="auto"/>
              <w:ind w:left="22"/>
              <w:rPr>
                <w:rStyle w:val="Emphasis"/>
                <w:rFonts w:ascii="Century Gothic" w:hAnsi="Century Gothic" w:cs="Helvetica"/>
                <w:b/>
                <w:i w:val="0"/>
                <w:color w:val="FFFFFF" w:themeColor="background1"/>
              </w:rPr>
            </w:pPr>
            <w:r w:rsidRPr="00DB6662">
              <w:rPr>
                <w:rStyle w:val="Emphasis"/>
                <w:rFonts w:ascii="Century Gothic" w:hAnsi="Century Gothic" w:cs="Helvetica"/>
                <w:b/>
                <w:i w:val="0"/>
                <w:color w:val="FFFFFF" w:themeColor="background1"/>
              </w:rPr>
              <w:t>after, although, as, because, before, how, if, once, since, than, that, though, till, until, when, where, whether, while</w:t>
            </w:r>
          </w:p>
          <w:p w14:paraId="64B1C781" w14:textId="77777777" w:rsidR="00CD2964" w:rsidRPr="00DB6662" w:rsidRDefault="00CD2964" w:rsidP="00CD2964">
            <w:pPr>
              <w:spacing w:line="254" w:lineRule="auto"/>
              <w:ind w:left="22"/>
              <w:rPr>
                <w:rStyle w:val="Emphasis"/>
                <w:rFonts w:ascii="Century Gothic" w:hAnsi="Century Gothic" w:cs="Helvetica"/>
                <w:b/>
                <w:i w:val="0"/>
                <w:color w:val="FFFFFF" w:themeColor="background1"/>
              </w:rPr>
            </w:pPr>
          </w:p>
          <w:p w14:paraId="133F9607" w14:textId="77777777" w:rsidR="00CD2964" w:rsidRPr="00DB6662" w:rsidRDefault="00CD2964" w:rsidP="00CD2964">
            <w:pPr>
              <w:spacing w:line="254" w:lineRule="auto"/>
              <w:ind w:left="22"/>
              <w:rPr>
                <w:rStyle w:val="Emphasis"/>
                <w:rFonts w:ascii="Century Gothic" w:hAnsi="Century Gothic" w:cs="Helvetica"/>
                <w:i w:val="0"/>
                <w:color w:val="FFFFFF" w:themeColor="background1"/>
              </w:rPr>
            </w:pPr>
            <w:r w:rsidRPr="00DB6662">
              <w:rPr>
                <w:rStyle w:val="Emphasis"/>
                <w:rFonts w:ascii="Century Gothic" w:hAnsi="Century Gothic" w:cs="Helvetica"/>
                <w:i w:val="0"/>
                <w:color w:val="FFFFFF" w:themeColor="background1"/>
              </w:rPr>
              <w:t xml:space="preserve">The </w:t>
            </w:r>
            <w:r w:rsidRPr="00DB6662">
              <w:rPr>
                <w:rStyle w:val="Emphasis"/>
                <w:rFonts w:ascii="Century Gothic" w:hAnsi="Century Gothic" w:cs="Helvetica"/>
                <w:b/>
                <w:i w:val="0"/>
                <w:color w:val="FFFFFF" w:themeColor="background1"/>
              </w:rPr>
              <w:t xml:space="preserve">5 </w:t>
            </w:r>
            <w:r w:rsidRPr="00DB6662">
              <w:rPr>
                <w:rStyle w:val="Emphasis"/>
                <w:rFonts w:ascii="Century Gothic" w:hAnsi="Century Gothic" w:cs="Helvetica"/>
                <w:i w:val="0"/>
                <w:color w:val="FFFFFF" w:themeColor="background1"/>
              </w:rPr>
              <w:t>basic relative pronouns are:</w:t>
            </w:r>
          </w:p>
          <w:p w14:paraId="096B4F2E" w14:textId="77777777" w:rsidR="00CD2964" w:rsidRPr="00DB6662" w:rsidRDefault="00CD2964" w:rsidP="00CD2964">
            <w:pPr>
              <w:spacing w:line="254" w:lineRule="auto"/>
              <w:ind w:left="22"/>
              <w:rPr>
                <w:rFonts w:ascii="Century Gothic" w:hAnsi="Century Gothic" w:cs="Helvetica"/>
                <w:b/>
                <w:color w:val="FFFFFF" w:themeColor="background1"/>
              </w:rPr>
            </w:pPr>
            <w:r w:rsidRPr="00DB6662">
              <w:rPr>
                <w:rStyle w:val="Emphasis"/>
                <w:rFonts w:ascii="Century Gothic" w:hAnsi="Century Gothic" w:cs="Helvetica"/>
                <w:b/>
                <w:i w:val="0"/>
                <w:color w:val="FFFFFF" w:themeColor="background1"/>
              </w:rPr>
              <w:t>That, which, who, whom, whose</w:t>
            </w:r>
          </w:p>
          <w:p w14:paraId="74C959DF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</w:tc>
        <w:tc>
          <w:tcPr>
            <w:tcW w:w="4617" w:type="dxa"/>
            <w:shd w:val="clear" w:color="auto" w:fill="auto"/>
          </w:tcPr>
          <w:p w14:paraId="6B89A8C2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  <w:p w14:paraId="1B1C1849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65506C"/>
                <w:sz w:val="24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b/>
                <w:color w:val="65506C"/>
                <w:sz w:val="24"/>
                <w:lang w:eastAsia="en-GB"/>
              </w:rPr>
              <w:t>Compound-Complex Sentence Structure</w:t>
            </w:r>
          </w:p>
          <w:p w14:paraId="1FDC5B19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65506C"/>
                <w:sz w:val="20"/>
                <w:lang w:eastAsia="en-GB"/>
              </w:rPr>
            </w:pPr>
          </w:p>
          <w:p w14:paraId="639F98DC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</w:pPr>
            <w:r w:rsidRPr="00DB6662">
              <w:rPr>
                <w:rFonts w:ascii="Century Gothic" w:eastAsia="Times New Roman" w:hAnsi="Century Gothic" w:cs="Times New Roman"/>
                <w:color w:val="65506C"/>
                <w:lang w:eastAsia="en-GB"/>
              </w:rPr>
              <w:t xml:space="preserve">A compound-complex sentence consists of </w:t>
            </w:r>
            <w:r w:rsidRPr="00DB6662">
              <w:rPr>
                <w:rFonts w:ascii="Century Gothic" w:eastAsia="Times New Roman" w:hAnsi="Century Gothic" w:cs="Times New Roman"/>
                <w:b/>
                <w:color w:val="65506C"/>
                <w:lang w:eastAsia="en-GB"/>
              </w:rPr>
              <w:t>at least two independent clauses and one or more dependent clauses.</w:t>
            </w:r>
          </w:p>
          <w:p w14:paraId="7CB81466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color w:val="65506C"/>
                <w:lang w:eastAsia="en-GB"/>
              </w:rPr>
            </w:pPr>
          </w:p>
          <w:p w14:paraId="3CF37D26" w14:textId="77777777" w:rsidR="00CD2964" w:rsidRPr="00DB6662" w:rsidRDefault="00CD2964" w:rsidP="00CD2964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97" w:hanging="284"/>
              <w:rPr>
                <w:rFonts w:ascii="Century Gothic" w:hAnsi="Century Gothic" w:cs="Helvetica"/>
                <w:b/>
                <w:color w:val="65506C"/>
                <w:szCs w:val="20"/>
              </w:rPr>
            </w:pPr>
            <w:r w:rsidRPr="00DB6662">
              <w:rPr>
                <w:rFonts w:ascii="Century Gothic" w:hAnsi="Century Gothic" w:cs="Helvetica"/>
                <w:b/>
                <w:color w:val="65506C"/>
                <w:szCs w:val="20"/>
              </w:rPr>
              <w:t>John didn't come because he was ill so Mary was not happy.</w:t>
            </w:r>
          </w:p>
          <w:p w14:paraId="6414EA74" w14:textId="77777777" w:rsidR="00CD2964" w:rsidRPr="00DB6662" w:rsidRDefault="00CD2964" w:rsidP="00CD2964">
            <w:pPr>
              <w:pStyle w:val="ListParagraph"/>
              <w:numPr>
                <w:ilvl w:val="0"/>
                <w:numId w:val="20"/>
              </w:numPr>
              <w:spacing w:line="254" w:lineRule="auto"/>
              <w:ind w:left="297" w:hanging="284"/>
              <w:rPr>
                <w:rFonts w:ascii="Century Gothic" w:hAnsi="Century Gothic" w:cs="Helvetica"/>
                <w:b/>
                <w:color w:val="65506C"/>
                <w:szCs w:val="20"/>
              </w:rPr>
            </w:pPr>
            <w:r w:rsidRPr="00DB6662">
              <w:rPr>
                <w:rFonts w:ascii="Century Gothic" w:hAnsi="Century Gothic" w:cs="Helvetica"/>
                <w:b/>
                <w:color w:val="65506C"/>
                <w:szCs w:val="20"/>
              </w:rPr>
              <w:t>He left in a hurry after he got a phone call but he came back five minutes later.</w:t>
            </w:r>
          </w:p>
          <w:p w14:paraId="11734134" w14:textId="77777777" w:rsidR="00CD2964" w:rsidRPr="00DB6662" w:rsidRDefault="00CD2964" w:rsidP="00CD2964">
            <w:pPr>
              <w:spacing w:line="254" w:lineRule="auto"/>
              <w:rPr>
                <w:rFonts w:ascii="Century Gothic" w:eastAsia="Times New Roman" w:hAnsi="Century Gothic" w:cs="Times New Roman"/>
                <w:b/>
                <w:color w:val="FFFFFF" w:themeColor="background1"/>
                <w:sz w:val="20"/>
                <w:lang w:eastAsia="en-GB"/>
              </w:rPr>
            </w:pPr>
          </w:p>
        </w:tc>
      </w:tr>
    </w:tbl>
    <w:p w14:paraId="0C071E19" w14:textId="77777777" w:rsidR="003A16B0" w:rsidRDefault="003A16B0" w:rsidP="00455174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p w14:paraId="081A5FFB" w14:textId="77777777" w:rsidR="003A16B0" w:rsidRDefault="003A16B0" w:rsidP="00455174">
      <w:pPr>
        <w:pStyle w:val="NormalWeb"/>
        <w:shd w:val="clear" w:color="auto" w:fill="FFFFFF"/>
        <w:spacing w:before="0" w:beforeAutospacing="0" w:after="0" w:afterAutospacing="0" w:line="254" w:lineRule="auto"/>
        <w:jc w:val="both"/>
        <w:rPr>
          <w:rFonts w:ascii="Century Gothic" w:hAnsi="Century Gothic" w:cs="Arial"/>
          <w:sz w:val="22"/>
        </w:rPr>
      </w:pPr>
    </w:p>
    <w:sectPr w:rsidR="003A16B0" w:rsidSect="005068C4">
      <w:footerReference w:type="default" r:id="rId9"/>
      <w:pgSz w:w="11906" w:h="16838"/>
      <w:pgMar w:top="426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5B8F" w14:textId="77777777" w:rsidR="00CD2964" w:rsidRDefault="00CD2964" w:rsidP="00CD2964">
      <w:pPr>
        <w:spacing w:after="0" w:line="240" w:lineRule="auto"/>
      </w:pPr>
      <w:r>
        <w:separator/>
      </w:r>
    </w:p>
  </w:endnote>
  <w:endnote w:type="continuationSeparator" w:id="0">
    <w:p w14:paraId="67219D1A" w14:textId="77777777" w:rsidR="00CD2964" w:rsidRDefault="00CD2964" w:rsidP="00CD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D2D4" w14:textId="77777777" w:rsidR="005068C4" w:rsidRPr="00512BF8" w:rsidRDefault="005068C4" w:rsidP="005068C4">
    <w:pPr>
      <w:spacing w:after="28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2C9B0" wp14:editId="7FE02107">
          <wp:simplePos x="0" y="0"/>
          <wp:positionH relativeFrom="column">
            <wp:posOffset>3929344</wp:posOffset>
          </wp:positionH>
          <wp:positionV relativeFrom="paragraph">
            <wp:posOffset>96520</wp:posOffset>
          </wp:positionV>
          <wp:extent cx="533400" cy="299720"/>
          <wp:effectExtent l="0" t="0" r="0" b="5080"/>
          <wp:wrapNone/>
          <wp:docPr id="10" name="Picture 10" descr="twitte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Hanley Library, Clinical Education Centre, Southport &amp; Ormskirk Hospital Trust, Town Lane, Southport PR8 6PN </w:t>
    </w:r>
    <w:r>
      <w:rPr>
        <w:rFonts w:ascii="Arial" w:hAnsi="Arial" w:cs="Arial"/>
        <w:sz w:val="16"/>
        <w:szCs w:val="16"/>
      </w:rPr>
      <w:br/>
      <w:t xml:space="preserve">Tel: 01704 704202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soh-tr.hanleylibrary@nhs.net</w:t>
      </w:r>
    </w:hyperlink>
    <w:r>
      <w:t xml:space="preserve"> </w:t>
    </w:r>
    <w:r>
      <w:tab/>
    </w:r>
    <w:r>
      <w:tab/>
    </w:r>
    <w:hyperlink r:id="rId3" w:history="1">
      <w:r>
        <w:rPr>
          <w:rStyle w:val="Hyperlink"/>
          <w:rFonts w:ascii="Arial" w:hAnsi="Arial" w:cs="Arial"/>
          <w:sz w:val="16"/>
        </w:rPr>
        <w:t>@sonhslks</w:t>
      </w:r>
    </w:hyperlink>
  </w:p>
  <w:p w14:paraId="64C7338B" w14:textId="774EC48A" w:rsidR="00CD2964" w:rsidRDefault="00CD2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C0F1E" w14:textId="77777777" w:rsidR="00CD2964" w:rsidRDefault="00CD2964" w:rsidP="00CD2964">
      <w:pPr>
        <w:spacing w:after="0" w:line="240" w:lineRule="auto"/>
      </w:pPr>
      <w:r>
        <w:separator/>
      </w:r>
    </w:p>
  </w:footnote>
  <w:footnote w:type="continuationSeparator" w:id="0">
    <w:p w14:paraId="29D89D55" w14:textId="77777777" w:rsidR="00CD2964" w:rsidRDefault="00CD2964" w:rsidP="00CD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7C7"/>
    <w:multiLevelType w:val="hybridMultilevel"/>
    <w:tmpl w:val="5BA8D6E2"/>
    <w:lvl w:ilvl="0" w:tplc="052CB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86419"/>
    <w:multiLevelType w:val="multilevel"/>
    <w:tmpl w:val="E39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D2B60"/>
    <w:multiLevelType w:val="multilevel"/>
    <w:tmpl w:val="7C8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76AC"/>
    <w:multiLevelType w:val="multilevel"/>
    <w:tmpl w:val="C88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F4A1E"/>
    <w:multiLevelType w:val="hybridMultilevel"/>
    <w:tmpl w:val="3FC4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7960"/>
    <w:multiLevelType w:val="multilevel"/>
    <w:tmpl w:val="704A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9A2430"/>
    <w:multiLevelType w:val="hybridMultilevel"/>
    <w:tmpl w:val="E0246770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2BAD5958"/>
    <w:multiLevelType w:val="multilevel"/>
    <w:tmpl w:val="774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54EAC"/>
    <w:multiLevelType w:val="multilevel"/>
    <w:tmpl w:val="BDD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A004B"/>
    <w:multiLevelType w:val="hybridMultilevel"/>
    <w:tmpl w:val="C120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0BD"/>
    <w:multiLevelType w:val="multilevel"/>
    <w:tmpl w:val="882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D2897"/>
    <w:multiLevelType w:val="multilevel"/>
    <w:tmpl w:val="AB2A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64B3F"/>
    <w:multiLevelType w:val="hybridMultilevel"/>
    <w:tmpl w:val="9316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8DE"/>
    <w:multiLevelType w:val="hybridMultilevel"/>
    <w:tmpl w:val="4EC67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624F0"/>
    <w:multiLevelType w:val="multilevel"/>
    <w:tmpl w:val="70FA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3B6548"/>
    <w:multiLevelType w:val="multilevel"/>
    <w:tmpl w:val="8B72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C7080C"/>
    <w:multiLevelType w:val="hybridMultilevel"/>
    <w:tmpl w:val="AC30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A5755"/>
    <w:multiLevelType w:val="multilevel"/>
    <w:tmpl w:val="2F32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5DD9"/>
    <w:multiLevelType w:val="hybridMultilevel"/>
    <w:tmpl w:val="483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3BFF"/>
    <w:multiLevelType w:val="multilevel"/>
    <w:tmpl w:val="BA7E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3"/>
  </w:num>
  <w:num w:numId="14">
    <w:abstractNumId w:val="19"/>
  </w:num>
  <w:num w:numId="15">
    <w:abstractNumId w:val="5"/>
  </w:num>
  <w:num w:numId="16">
    <w:abstractNumId w:val="0"/>
  </w:num>
  <w:num w:numId="17">
    <w:abstractNumId w:val="9"/>
  </w:num>
  <w:num w:numId="18">
    <w:abstractNumId w:val="18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68"/>
    <w:rsid w:val="000115BD"/>
    <w:rsid w:val="00077668"/>
    <w:rsid w:val="00087FF3"/>
    <w:rsid w:val="00094DF4"/>
    <w:rsid w:val="000E7B73"/>
    <w:rsid w:val="00111204"/>
    <w:rsid w:val="00251876"/>
    <w:rsid w:val="003308F9"/>
    <w:rsid w:val="00377FF2"/>
    <w:rsid w:val="003A16B0"/>
    <w:rsid w:val="003E19D1"/>
    <w:rsid w:val="003E3994"/>
    <w:rsid w:val="00400C71"/>
    <w:rsid w:val="00441979"/>
    <w:rsid w:val="00455174"/>
    <w:rsid w:val="004D07E1"/>
    <w:rsid w:val="004E001D"/>
    <w:rsid w:val="005068C4"/>
    <w:rsid w:val="00511C43"/>
    <w:rsid w:val="005A34F1"/>
    <w:rsid w:val="005E4066"/>
    <w:rsid w:val="00613747"/>
    <w:rsid w:val="00712B3C"/>
    <w:rsid w:val="007153F8"/>
    <w:rsid w:val="00877CEF"/>
    <w:rsid w:val="00930528"/>
    <w:rsid w:val="009B6222"/>
    <w:rsid w:val="009C1ADA"/>
    <w:rsid w:val="00AD3F0B"/>
    <w:rsid w:val="00B06488"/>
    <w:rsid w:val="00B3261A"/>
    <w:rsid w:val="00B40012"/>
    <w:rsid w:val="00B9463D"/>
    <w:rsid w:val="00C32D3E"/>
    <w:rsid w:val="00CC549C"/>
    <w:rsid w:val="00CD2964"/>
    <w:rsid w:val="00D775FC"/>
    <w:rsid w:val="00DA5AA5"/>
    <w:rsid w:val="00DB6662"/>
    <w:rsid w:val="00ED1245"/>
    <w:rsid w:val="00F4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6595C"/>
  <w15:chartTrackingRefBased/>
  <w15:docId w15:val="{16383172-6E99-453C-A805-46D3696F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D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D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18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61A"/>
    <w:pPr>
      <w:ind w:left="720"/>
      <w:contextualSpacing/>
    </w:pPr>
  </w:style>
  <w:style w:type="character" w:customStyle="1" w:styleId="s1">
    <w:name w:val="s1"/>
    <w:basedOn w:val="DefaultParagraphFont"/>
    <w:rsid w:val="000115BD"/>
  </w:style>
  <w:style w:type="character" w:styleId="Emphasis">
    <w:name w:val="Emphasis"/>
    <w:basedOn w:val="DefaultParagraphFont"/>
    <w:uiPriority w:val="20"/>
    <w:qFormat/>
    <w:rsid w:val="000115BD"/>
    <w:rPr>
      <w:i/>
      <w:iCs/>
    </w:rPr>
  </w:style>
  <w:style w:type="character" w:styleId="Strong">
    <w:name w:val="Strong"/>
    <w:basedOn w:val="DefaultParagraphFont"/>
    <w:uiPriority w:val="22"/>
    <w:qFormat/>
    <w:rsid w:val="000115BD"/>
    <w:rPr>
      <w:b/>
      <w:bCs/>
    </w:rPr>
  </w:style>
  <w:style w:type="paragraph" w:customStyle="1" w:styleId="lp">
    <w:name w:val="lp"/>
    <w:basedOn w:val="Normal"/>
    <w:rsid w:val="000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2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D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vecustomfontsize">
    <w:name w:val="tve_custom_font_size"/>
    <w:basedOn w:val="DefaultParagraphFont"/>
    <w:rsid w:val="00C32D3E"/>
  </w:style>
  <w:style w:type="character" w:customStyle="1" w:styleId="Heading4Char">
    <w:name w:val="Heading 4 Char"/>
    <w:basedOn w:val="DefaultParagraphFont"/>
    <w:link w:val="Heading4"/>
    <w:uiPriority w:val="9"/>
    <w:semiHidden/>
    <w:rsid w:val="00C32D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C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964"/>
  </w:style>
  <w:style w:type="paragraph" w:styleId="Footer">
    <w:name w:val="footer"/>
    <w:basedOn w:val="Normal"/>
    <w:link w:val="FooterChar"/>
    <w:uiPriority w:val="99"/>
    <w:unhideWhenUsed/>
    <w:rsid w:val="00CD2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2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7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95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4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7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12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3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5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1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SONHSLKS" TargetMode="External"/><Relationship Id="rId2" Type="http://schemas.openxmlformats.org/officeDocument/2006/relationships/hyperlink" Target="mailto:soh-tr.hanleylibrary@nhs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A74A-7D37-4C98-9C96-8BEC617F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Burns</dc:creator>
  <cp:keywords/>
  <dc:description/>
  <cp:lastModifiedBy>BURNS, Stephanie (SOUTHPORT AND ORMSKIRK HOSPITAL NHS TRUST)</cp:lastModifiedBy>
  <cp:revision>7</cp:revision>
  <cp:lastPrinted>2019-08-21T13:57:00Z</cp:lastPrinted>
  <dcterms:created xsi:type="dcterms:W3CDTF">2019-08-09T09:06:00Z</dcterms:created>
  <dcterms:modified xsi:type="dcterms:W3CDTF">2022-05-10T15:04:00Z</dcterms:modified>
</cp:coreProperties>
</file>